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ind w:left="4320" w:firstLine="0"/>
        <w:contextualSpacing w:val="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        Šiaulių rajono mokytojų, pagalbos mokiniui</w:t>
      </w:r>
    </w:p>
    <w:p w:rsidR="00000000" w:rsidDel="00000000" w:rsidP="00000000" w:rsidRDefault="00000000" w:rsidRPr="00000000" w14:paraId="00000001">
      <w:pPr>
        <w:spacing w:line="276" w:lineRule="auto"/>
        <w:ind w:left="4320" w:firstLine="0"/>
        <w:contextualSpacing w:val="0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        specialistų, mokyklų vadovų ir kitų pedagoginių darbuotojų</w:t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jc w:val="righ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sz w:val="20"/>
          <w:szCs w:val="20"/>
          <w:rtl w:val="0"/>
        </w:rPr>
        <w:t xml:space="preserve">metodinės veiklos organizavimo tvarkos aprašo priedas</w:t>
      </w:r>
      <w:r w:rsidDel="00000000" w:rsidR="00000000" w:rsidRPr="00000000">
        <w:rPr>
          <w:sz w:val="22"/>
          <w:szCs w:val="22"/>
          <w:rtl w:val="0"/>
        </w:rPr>
        <w:t xml:space="preserve"> Nr.</w:t>
      </w:r>
      <w:r w:rsidDel="00000000" w:rsidR="00000000" w:rsidRPr="00000000">
        <w:rPr>
          <w:sz w:val="22"/>
          <w:szCs w:val="22"/>
          <w:rtl w:val="0"/>
        </w:rPr>
        <w:t xml:space="preserve"> 7  </w:t>
      </w:r>
      <w:r w:rsidDel="00000000" w:rsidR="00000000" w:rsidRPr="00000000">
        <w:rPr>
          <w:rtl w:val="0"/>
        </w:rPr>
      </w:r>
    </w:p>
    <w:tbl>
      <w:tblPr>
        <w:tblStyle w:val="Table1"/>
        <w:tblW w:w="10461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45"/>
        <w:gridCol w:w="2067"/>
        <w:gridCol w:w="4649"/>
        <w:tblGridChange w:id="0">
          <w:tblGrid>
            <w:gridCol w:w="3745"/>
            <w:gridCol w:w="2067"/>
            <w:gridCol w:w="464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Dalykas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Stebėtojas</w:t>
            </w:r>
          </w:p>
        </w:tc>
      </w:tr>
    </w:tbl>
    <w:p w:rsidR="00000000" w:rsidDel="00000000" w:rsidP="00000000" w:rsidRDefault="00000000" w:rsidRPr="00000000" w14:paraId="00000006">
      <w:pPr>
        <w:spacing w:line="276" w:lineRule="auto"/>
        <w:ind w:left="2591"/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PAMOKOS STEBĖJIMO PROTOKOLAS</w:t>
      </w:r>
    </w:p>
    <w:tbl>
      <w:tblPr>
        <w:tblStyle w:val="Table2"/>
        <w:tblW w:w="11311.999999999998" w:type="dxa"/>
        <w:jc w:val="left"/>
        <w:tblInd w:w="-12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7"/>
        <w:gridCol w:w="760"/>
        <w:gridCol w:w="6966"/>
        <w:gridCol w:w="2749"/>
        <w:tblGridChange w:id="0">
          <w:tblGrid>
            <w:gridCol w:w="837"/>
            <w:gridCol w:w="760"/>
            <w:gridCol w:w="6966"/>
            <w:gridCol w:w="2749"/>
          </w:tblGrid>
        </w:tblGridChange>
      </w:tblGrid>
      <w:tr>
        <w:trPr>
          <w:trHeight w:val="1260" w:hRule="atLeast"/>
        </w:trPr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Pamokos struktūra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Mokytojo pavardė ....................................................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Pamokos tema .............................................................................................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Klasė        ........                  Mokinių  skaičius .........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Įvertinimas:</w:t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 – nebuvo galimybės stebėti,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– reikia tobulinti.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– patenkinamai,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– gerai</w:t>
            </w:r>
          </w:p>
        </w:tc>
      </w:tr>
      <w:tr>
        <w:trPr>
          <w:trHeight w:val="600" w:hRule="atLeast"/>
        </w:trPr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Pamokos planavimas, organizavimas ir laiko vadyba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Pamokos eiga</w:t>
            </w:r>
          </w:p>
        </w:tc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MOKYMASIS                                                   MOKYMAS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Dalykinis parengimas: atliktų užduočių, namų darbų tikrinimas.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Motyvacinis parengimas: mokymosi uždavinių kėlimas ir apibrėžtumas,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pamokos temos skelbimas.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Metodinis mokytojo pasirengimas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Mokymo medžiagos aktualizavimas, susiejimas su mokinių patirtimi, interesais, poreikiais.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Tinkamas metodų parinkimas, atsižvelgiant į mokinių mokymosi pasiekimų lygį ir mokymosi stilių.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Individualaus ir grupinio mokymo(si) derinimas.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Kritinio mąstymo ugdymas ir kūrybiškumo skatinimas.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Mokymo ir mokymosi individualizavimas, pagalba mokiniui.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Gimnazijos ugdymo prioritetų atspindys.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Integruojamojo dalyko mokomosios medžiagos santykis, tikslingumas ir efektyvumas.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Vadovavimas mokymuisi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Galimybė mokiniams išsakyti mokymosi lūkesčius.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Mokymosi sėkmės patirtys.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Mokymosi įprasminimas: sudaromos sąlygos modeliuoti ar spręsti realaus pasaulio problemas, ugdytis realiam gyvenimui aktualius mąstymo ir veiklos gebėjimus.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Įsivertinimas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Mokymosi įsivertinimas, įvardijant mokymosi sunkumus ir problemas.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Mokymosi pažangos fiksavimas.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Tolesnių mokymosi žingsnių nustatymas.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Vertinimas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Vertinimo kriterijų aiškumas.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Vertinimo būdų įvairovė, individualizavimas ir dažnumas.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Namų darbų skyrimas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Namų darbų tikslingumas ir apimtys.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Namų darbų individualizavimas.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Išsikeltų uždavinių įgyvendinimas ir pamokos rezultatų apibendrinimas.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Santykiai, tvarka,</w:t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klasės valdymas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Mokinių tarpusavio santykiai ir savijauta klasėje.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Mokinių mokytojo santykiai.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Tvarkos ir drausmės palaikymas bei elgesio problemų sprendimas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shd w:fill="ffffff" w:val="clear"/>
            <w:vAlign w:val="bottom"/>
          </w:tcPr>
          <w:p w:rsidR="00000000" w:rsidDel="00000000" w:rsidP="00000000" w:rsidRDefault="00000000" w:rsidRPr="00000000" w14:paraId="00000088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Edukacinė aplinka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Patalpos tinkamumas mokytis, jaukumas, estetiškumas.</w:t>
            </w:r>
          </w:p>
          <w:p w:rsidR="00000000" w:rsidDel="00000000" w:rsidP="00000000" w:rsidRDefault="00000000" w:rsidRPr="00000000" w14:paraId="0000008B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Pateikiamos medžiagos estetiškumas</w:t>
            </w:r>
          </w:p>
          <w:p w:rsidR="00000000" w:rsidDel="00000000" w:rsidP="00000000" w:rsidRDefault="00000000" w:rsidRPr="00000000" w14:paraId="0000008C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Reikalavimų mokinių (aprangos), sąsiuvinių/užrašų estetikai/tvarkai palaikymas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Stebėtojo komentarai ir sėkmės      ________________________________________________________________________________  </w:t>
      </w:r>
    </w:p>
    <w:p w:rsidR="00000000" w:rsidDel="00000000" w:rsidP="00000000" w:rsidRDefault="00000000" w:rsidRPr="00000000" w14:paraId="0000008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</w:t>
      </w:r>
    </w:p>
    <w:p w:rsidR="00000000" w:rsidDel="00000000" w:rsidP="00000000" w:rsidRDefault="00000000" w:rsidRPr="00000000" w14:paraId="0000009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Pasiūlymai          _________________________________________________________________</w:t>
      </w:r>
    </w:p>
    <w:p w:rsidR="00000000" w:rsidDel="00000000" w:rsidP="00000000" w:rsidRDefault="00000000" w:rsidRPr="00000000" w14:paraId="00000091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contextualSpacing w:val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Susipažinau:</w:t>
      </w:r>
      <w:r w:rsidDel="00000000" w:rsidR="00000000" w:rsidRPr="00000000">
        <w:rPr>
          <w:rtl w:val="0"/>
        </w:rPr>
      </w:r>
    </w:p>
    <w:sectPr>
      <w:pgSz w:h="16838" w:w="11906"/>
      <w:pgMar w:bottom="249" w:top="238" w:left="1701" w:right="567" w:header="34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